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Fondi Strutturale Europei – Programma operativo Nazionale 2014-2020</w:t>
        <w:br w:type="textWrapping"/>
        <w:t xml:space="preserve">“Per la scuola, competenze e ambienti per l’apprendimento”</w:t>
        <w:br w:type="textWrapping"/>
        <w:t xml:space="preserve">CODICE PROGETTO: 10.2.2A-FSEPON-PU-2019-314</w:t>
        <w:br w:type="textWrapping"/>
        <w:t xml:space="preserve">TITOLO PROGETTO: La meraviglia di apprendere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Griglia Valutazione Titoli ESPERTO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6"/>
        <w:gridCol w:w="56"/>
        <w:gridCol w:w="2340"/>
        <w:gridCol w:w="2273"/>
        <w:gridCol w:w="17"/>
        <w:gridCol w:w="2290"/>
        <w:gridCol w:w="135"/>
        <w:tblGridChange w:id="0">
          <w:tblGrid>
            <w:gridCol w:w="2916"/>
            <w:gridCol w:w="56"/>
            <w:gridCol w:w="2340"/>
            <w:gridCol w:w="2273"/>
            <w:gridCol w:w="17"/>
            <w:gridCol w:w="2290"/>
            <w:gridCol w:w="135"/>
          </w:tblGrid>
        </w:tblGridChange>
      </w:tblGrid>
      <w:tr>
        <w:trPr>
          <w:trHeight w:val="521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CULTURALI – (max. 38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6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Possesso di laurea specifica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Fino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così attribuiti: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voto superiore ai 76/110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 0,50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(max. 17 punti)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lode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(max. 2 Dottorati)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9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di 2° livello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(max. 2 Master)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8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di 1° livello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(max.3 Master)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Corsi di specializzazione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0,50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(max. 4 Corsi)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ESPERIENZE  PROFESSIONALI – (max. 60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8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di formazione valida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documentata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realizzata in qualità 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docente universitario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anno di docenza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(max. 4 esperienze)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 attinenti al modulo per cui si concorre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per ogni pubblicazione (max. 2 pubblicazioni)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di ricerca o sperimentazione  valida documentata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1,5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per ogni esperienza (max. 4 esperienze)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di formazione valida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documentata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realizzata in qualità 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docente in progetti europei nella disciplina del modulo per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1,5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esperienza (max. 7 esperienze)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di formazione valida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documentata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realizzata in qualità 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docente in progetti europei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ogni esperienza </w:t>
              <w:br w:type="textWrapping"/>
              <w:t xml:space="preserve">(max. 4 esperienze)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di docente, valida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documentata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realizzata in progetti inerenti l’incarico all’interno delle istituzioni scolastiche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ogni anno di docenza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(max. 9 esperienze)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ogni anno di insegnamento nella disciplina specifica del modulo, successivo al primo quinquennio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ogni anno di docenza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(max. 10 anni)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di formazione attinente alla disciplina del modulo per il quale si concorre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minimo 15 ore certificate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di formazione valida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documentata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in qualità 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Il punteggio verrà attribuito esclusivamente per la partecipazione a corsi di aggiornamento della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minima di 30 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realizzati da un Ente Pubblico o autorizzati da un Ministero o da una Regione, inerenti il settore di intervento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0,50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ogni corso di formazione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(max. 8 esperienze)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7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 Informatiche – (max. 2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8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ogni certificazione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(max. 2 certificazioni)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Taranto, __________________________</w:t>
            </w:r>
          </w:p>
        </w:tc>
      </w:tr>
      <w:tr>
        <w:trPr>
          <w:trHeight w:val="177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910"/>
              </w:tabs>
              <w:spacing w:after="0" w:before="0" w:line="240" w:lineRule="auto"/>
              <w:ind w:left="47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   Firma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910"/>
              </w:tabs>
              <w:spacing w:after="0" w:before="0" w:line="240" w:lineRule="auto"/>
              <w:ind w:left="47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40"/>
              </w:tabs>
              <w:spacing w:after="0" w:before="0" w:line="240" w:lineRule="auto"/>
              <w:ind w:left="470" w:right="55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________________________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6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851" w:top="851" w:left="851" w:right="851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Helvetica Neue"/>
  <w:font w:name="Arial Narrow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213359</wp:posOffset>
              </wp:positionV>
              <wp:extent cx="6400800" cy="0"/>
              <wp:effectExtent b="12700" l="0" r="0" t="1270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CnPr/>
                    <wps:cNvPr id="1" name="Connettore 1 1"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cap="flat" cmpd="sng" w="25400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rotWithShape="0" dir="5400000" dist="2000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213359</wp:posOffset>
              </wp:positionV>
              <wp:extent cx="6400800" cy="25400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Istituto Comprensivo Statale “Vico – De Carolis” via SS. Angeli Custodi 74123 TARANTO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